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проработает вопрос масштабирования механизма привлечения инвестиций в отрасли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2023, 15:55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позволит построить новые объекты коммунального сектора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Всероссийской тарифной конференции участники обсудили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вопросы
        </w:t>
        </w:r>
      </w:hyperlink>
      <w:r>
        <w:t xml:space="preserve"> привлечения дополнительных средств на модернизацию инфраструктуры.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Продолжить проработку этого вопроса ФАС России планирует в рамках Экспертного совета в сфере ЖКХ совместно с региональными тарифными органами, регулируемыми организациями и экспертным сообществом.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мероприятии привели результаты реализации механизма «загрязнитель платит».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по итогам контрольно-надзорной деятельности ФАС России выявила, что не всегда региональные тарифные органы оценивают целевое использование компаниями доходов от платы за негативное воздействие на работу систем водоотведения.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инициативе службы в 2022 году Правительство РФ утвердило постановление по регламентации учета при тарифном регулировании платы за негативное воздействие на системы водоотведения.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позволило привлечь в этом году на модернизацию объектов водоотведения 5,5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2023 году отмечен опережающий другие регулируемые сферы рост инвестиций в сферу водоотведения (+63% в первом полугодии 2023 года к 2022 году). Это связано в том числе с контрольными мероприятиями ФАС России по целевому использованию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представители службы напомнили, что с 1 сентября 2023 года вступили в законную силу разработанные ведомством новые стандарты и формы раскрытия информации. Они сформируют полную и достоверную базу по различным параметрам. Например, о состоянии инфраструктуры, объемах оказываемых услуг и потреблении энергоресурсов. Единый блок информации будет способствовать формированию актуальной программы модернизации коммунальной инфраструктуры.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85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